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B7B3" w14:textId="77777777" w:rsidR="00592762" w:rsidRDefault="00592762">
      <w:pPr>
        <w:spacing w:after="240" w:line="240" w:lineRule="auto"/>
        <w:jc w:val="both"/>
        <w:rPr>
          <w:rFonts w:ascii="Arial" w:eastAsia="Arial" w:hAnsi="Arial" w:cs="Arial"/>
          <w:b/>
          <w:sz w:val="36"/>
          <w:szCs w:val="36"/>
        </w:rPr>
      </w:pPr>
    </w:p>
    <w:tbl>
      <w:tblPr>
        <w:tblStyle w:val="a9"/>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592762" w14:paraId="7942A3AA" w14:textId="77777777">
        <w:tc>
          <w:tcPr>
            <w:tcW w:w="9026" w:type="dxa"/>
            <w:shd w:val="clear" w:color="auto" w:fill="auto"/>
            <w:tcMar>
              <w:top w:w="100" w:type="dxa"/>
              <w:left w:w="100" w:type="dxa"/>
              <w:bottom w:w="100" w:type="dxa"/>
              <w:right w:w="100" w:type="dxa"/>
            </w:tcMar>
          </w:tcPr>
          <w:p w14:paraId="180B016E" w14:textId="77777777" w:rsidR="00592762" w:rsidRDefault="0042086F">
            <w:pPr>
              <w:widowControl w:val="0"/>
              <w:rPr>
                <w:rFonts w:ascii="Arial" w:eastAsia="Arial" w:hAnsi="Arial" w:cs="Arial"/>
                <w:b/>
                <w:highlight w:val="yellow"/>
              </w:rPr>
            </w:pPr>
            <w:bookmarkStart w:id="0" w:name="_heading=h.gjdgxs" w:colFirst="0" w:colLast="0"/>
            <w:bookmarkEnd w:id="0"/>
            <w:r>
              <w:rPr>
                <w:rFonts w:ascii="Arial" w:eastAsia="Arial" w:hAnsi="Arial" w:cs="Arial"/>
                <w:b/>
                <w:highlight w:val="yellow"/>
              </w:rPr>
              <w:t>PLEASE RETAIN A COPY OF THIS SCHEDULE AS THIS FORMS PART OF YOUR CALL-OFF CONTRACT</w:t>
            </w:r>
          </w:p>
        </w:tc>
      </w:tr>
    </w:tbl>
    <w:p w14:paraId="0C8DA546" w14:textId="77777777" w:rsidR="00592762" w:rsidRDefault="00592762">
      <w:pPr>
        <w:spacing w:after="240" w:line="240" w:lineRule="auto"/>
        <w:jc w:val="both"/>
        <w:rPr>
          <w:rFonts w:ascii="Arial" w:eastAsia="Arial" w:hAnsi="Arial" w:cs="Arial"/>
          <w:b/>
          <w:sz w:val="36"/>
          <w:szCs w:val="36"/>
        </w:rPr>
      </w:pPr>
    </w:p>
    <w:p w14:paraId="310A334A" w14:textId="77777777" w:rsidR="00592762" w:rsidRDefault="0042086F">
      <w:pPr>
        <w:widowControl w:val="0"/>
        <w:spacing w:after="0" w:line="240" w:lineRule="auto"/>
        <w:rPr>
          <w:rFonts w:ascii="Arial" w:eastAsia="Arial" w:hAnsi="Arial" w:cs="Arial"/>
          <w:b/>
          <w:sz w:val="36"/>
          <w:szCs w:val="36"/>
        </w:rPr>
      </w:pPr>
      <w:r>
        <w:rPr>
          <w:rFonts w:ascii="Arial" w:eastAsia="Arial" w:hAnsi="Arial" w:cs="Arial"/>
          <w:b/>
          <w:sz w:val="36"/>
          <w:szCs w:val="36"/>
        </w:rPr>
        <w:t>Call-Off</w:t>
      </w:r>
      <w:r>
        <w:rPr>
          <w:rFonts w:ascii="Arial" w:eastAsia="Arial" w:hAnsi="Arial" w:cs="Arial"/>
          <w:b/>
        </w:rPr>
        <w:t xml:space="preserve"> </w:t>
      </w:r>
      <w:r>
        <w:rPr>
          <w:rFonts w:ascii="Arial" w:eastAsia="Arial" w:hAnsi="Arial" w:cs="Arial"/>
          <w:b/>
          <w:sz w:val="36"/>
          <w:szCs w:val="36"/>
        </w:rPr>
        <w:t xml:space="preserve">Schedule 7 (Key Supplier Staff) </w:t>
      </w:r>
    </w:p>
    <w:p w14:paraId="6F5E74F2"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15B96AAB"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Supplier shall ensure that the Key Staff fulfil the Key Roles at all times during the Contract Period.</w:t>
      </w:r>
    </w:p>
    <w:p w14:paraId="053DD441"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Buyer may identify any further roles as be</w:t>
      </w:r>
      <w:r>
        <w:rPr>
          <w:rFonts w:ascii="Arial" w:eastAsia="Arial" w:hAnsi="Arial" w:cs="Arial"/>
          <w:color w:val="000000"/>
          <w:sz w:val="24"/>
          <w:szCs w:val="24"/>
        </w:rPr>
        <w:t>ing Key Roles and, following agreement to the same by the Supplier, the relevant person selected to fill those Key Roles shall be included on the list of Key Staff.</w:t>
      </w:r>
    </w:p>
    <w:p w14:paraId="30046295"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Supplier shall not and shall procure that any Subcontractor shall not remove or replace</w:t>
      </w:r>
      <w:r>
        <w:rPr>
          <w:rFonts w:ascii="Arial" w:eastAsia="Arial" w:hAnsi="Arial" w:cs="Arial"/>
          <w:color w:val="000000"/>
          <w:sz w:val="24"/>
          <w:szCs w:val="24"/>
        </w:rPr>
        <w:t xml:space="preserve"> any Key Staff unless:</w:t>
      </w:r>
    </w:p>
    <w:p w14:paraId="3346C4F9"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requested to do so by the Buyer or the Buyer Approves such removal or replacement (not to be unreasonably withheld or delayed);</w:t>
      </w:r>
    </w:p>
    <w:p w14:paraId="3CFF4BF0"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the person concerned resigns, retires or dies or is on maternity or long-term sick leave; or</w:t>
      </w:r>
    </w:p>
    <w:p w14:paraId="29111AF8"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the person’s employment or contract</w:t>
      </w:r>
      <w:r>
        <w:rPr>
          <w:rFonts w:ascii="Arial" w:eastAsia="Arial" w:hAnsi="Arial" w:cs="Arial"/>
          <w:color w:val="000000"/>
          <w:sz w:val="24"/>
          <w:szCs w:val="24"/>
        </w:rPr>
        <w:t>ual arrangement with the Supplier or Subcontractor is terminated for material breach of contract by the employee.</w:t>
      </w:r>
    </w:p>
    <w:p w14:paraId="10445B56"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Supplier shall:</w:t>
      </w:r>
    </w:p>
    <w:p w14:paraId="2970B169"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notify the Buyer promptly of the absence of any Key Staff (other than for short-term sickness or holidays of two (2) weeks</w:t>
      </w:r>
      <w:r>
        <w:rPr>
          <w:rFonts w:ascii="Arial" w:eastAsia="Arial" w:hAnsi="Arial" w:cs="Arial"/>
          <w:color w:val="000000"/>
          <w:sz w:val="24"/>
          <w:szCs w:val="24"/>
        </w:rPr>
        <w:t xml:space="preserve"> or less, in which case the Supplier shall ensure appropriate temporary cover for that Key Role); 1.11</w:t>
      </w:r>
    </w:p>
    <w:p w14:paraId="6352C157"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ensure that any Key Role is not vacant for any longer than ten (10) Working Days;</w:t>
      </w:r>
    </w:p>
    <w:p w14:paraId="78D00948"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give as much notice as is reasonably practicable of its intention to re</w:t>
      </w:r>
      <w:r>
        <w:rPr>
          <w:rFonts w:ascii="Arial" w:eastAsia="Arial" w:hAnsi="Arial" w:cs="Arial"/>
          <w:color w:val="000000"/>
          <w:sz w:val="24"/>
          <w:szCs w:val="24"/>
        </w:rPr>
        <w:t>move or replace any member of Key Staff and, except in the cases of death, unexpected ill health or a material breach of the Key Staff’s employment contract, this will mean at least three (3) Months’ notice;</w:t>
      </w:r>
    </w:p>
    <w:p w14:paraId="600117D3"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t>ensure that all arrangements for planned changes</w:t>
      </w:r>
      <w:r>
        <w:rPr>
          <w:rFonts w:ascii="Arial" w:eastAsia="Arial" w:hAnsi="Arial" w:cs="Arial"/>
          <w:color w:val="000000"/>
          <w:sz w:val="24"/>
          <w:szCs w:val="24"/>
        </w:rPr>
        <w:t xml:space="preserve"> in Key Staff provide adequate periods during which incoming and outgoing staff work together to transfer responsibilities and ensure that such change does not have an adverse impact on the provision of the Deliverables; and</w:t>
      </w:r>
    </w:p>
    <w:p w14:paraId="24FBDF7B" w14:textId="77777777" w:rsidR="00592762" w:rsidRDefault="0042086F">
      <w:pPr>
        <w:numPr>
          <w:ilvl w:val="2"/>
          <w:numId w:val="1"/>
        </w:numPr>
        <w:pBdr>
          <w:top w:val="nil"/>
          <w:left w:val="nil"/>
          <w:bottom w:val="nil"/>
          <w:right w:val="nil"/>
          <w:between w:val="nil"/>
        </w:pBdr>
        <w:tabs>
          <w:tab w:val="left" w:pos="1560"/>
        </w:tabs>
        <w:spacing w:before="80" w:after="80" w:line="240" w:lineRule="auto"/>
        <w:ind w:left="1560" w:hanging="709"/>
        <w:rPr>
          <w:rFonts w:ascii="Arial" w:eastAsia="Arial" w:hAnsi="Arial" w:cs="Arial"/>
          <w:color w:val="000000"/>
          <w:sz w:val="24"/>
          <w:szCs w:val="24"/>
        </w:rPr>
      </w:pPr>
      <w:r>
        <w:rPr>
          <w:rFonts w:ascii="Arial" w:eastAsia="Arial" w:hAnsi="Arial" w:cs="Arial"/>
          <w:color w:val="000000"/>
          <w:sz w:val="24"/>
          <w:szCs w:val="24"/>
        </w:rPr>
        <w:lastRenderedPageBreak/>
        <w:t>ensure that any replacement for</w:t>
      </w:r>
      <w:r>
        <w:rPr>
          <w:rFonts w:ascii="Arial" w:eastAsia="Arial" w:hAnsi="Arial" w:cs="Arial"/>
          <w:color w:val="000000"/>
          <w:sz w:val="24"/>
          <w:szCs w:val="24"/>
        </w:rPr>
        <w:t xml:space="preserve"> a Key Role has a level of qualifications and experience appropriate to the relevant Key Role and is fully competent to carry out the tasks assigned to the Key Staff whom he or she has replaced.</w:t>
      </w:r>
    </w:p>
    <w:p w14:paraId="6DB945C0"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Buyer may require the Supplier to remove or procure that any Subcontractor shall remove any Key Staff that the Buyer considers in any respect unsatisfactory. The Buyer shall not be liable for the cost of replacing any Key Staff.</w:t>
      </w:r>
    </w:p>
    <w:p w14:paraId="77B5CF4E"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Supplier shall ensu</w:t>
      </w:r>
      <w:r>
        <w:rPr>
          <w:rFonts w:ascii="Arial" w:eastAsia="Arial" w:hAnsi="Arial" w:cs="Arial"/>
          <w:color w:val="000000"/>
          <w:sz w:val="24"/>
          <w:szCs w:val="24"/>
        </w:rPr>
        <w:t>re that all Supplier Personnel adhere and comply with Buyers’ safety and confidentiality requirements in full at all times.</w:t>
      </w:r>
    </w:p>
    <w:p w14:paraId="14DEED95"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Supplier shall ensure that all Supplier Personnel shall possess the qualifications, experience and competence appropriate to the</w:t>
      </w:r>
      <w:r>
        <w:rPr>
          <w:rFonts w:ascii="Arial" w:eastAsia="Arial" w:hAnsi="Arial" w:cs="Arial"/>
          <w:color w:val="000000"/>
          <w:sz w:val="24"/>
          <w:szCs w:val="24"/>
        </w:rPr>
        <w:t xml:space="preserve"> tasks for which they are employed.</w:t>
      </w:r>
    </w:p>
    <w:p w14:paraId="474D258D" w14:textId="77777777" w:rsidR="00592762" w:rsidRDefault="0042086F">
      <w:pPr>
        <w:numPr>
          <w:ilvl w:val="1"/>
          <w:numId w:val="1"/>
        </w:numPr>
        <w:pBdr>
          <w:top w:val="nil"/>
          <w:left w:val="nil"/>
          <w:bottom w:val="nil"/>
          <w:right w:val="nil"/>
          <w:between w:val="nil"/>
        </w:pBdr>
        <w:tabs>
          <w:tab w:val="left" w:pos="1134"/>
        </w:tabs>
        <w:spacing w:before="240" w:after="240" w:line="240" w:lineRule="auto"/>
        <w:ind w:left="794" w:hanging="794"/>
        <w:rPr>
          <w:rFonts w:ascii="Arial" w:eastAsia="Arial" w:hAnsi="Arial" w:cs="Arial"/>
          <w:color w:val="000000"/>
          <w:sz w:val="24"/>
          <w:szCs w:val="24"/>
        </w:rPr>
      </w:pPr>
      <w:r>
        <w:rPr>
          <w:rFonts w:ascii="Arial" w:eastAsia="Arial" w:hAnsi="Arial" w:cs="Arial"/>
          <w:color w:val="000000"/>
          <w:sz w:val="24"/>
          <w:szCs w:val="24"/>
        </w:rPr>
        <w:t>The Supplier shall ensure that all Supplier Personnel supplying the Services of this Framework Agreement and any Call Off Contracts act in a responsible and professional manner, and provide the Services with all due skil</w:t>
      </w:r>
      <w:r>
        <w:rPr>
          <w:rFonts w:ascii="Arial" w:eastAsia="Arial" w:hAnsi="Arial" w:cs="Arial"/>
          <w:color w:val="000000"/>
          <w:sz w:val="24"/>
          <w:szCs w:val="24"/>
        </w:rPr>
        <w:t>l, care and diligence as is to be expected of a skilled professional engaged in the supply of the required Services</w:t>
      </w:r>
    </w:p>
    <w:p w14:paraId="75A66371" w14:textId="77777777" w:rsidR="00592762" w:rsidRDefault="00592762">
      <w:pPr>
        <w:ind w:left="720" w:hanging="720"/>
        <w:jc w:val="center"/>
        <w:rPr>
          <w:rFonts w:ascii="Arial" w:eastAsia="Arial" w:hAnsi="Arial" w:cs="Arial"/>
          <w:b/>
          <w:sz w:val="24"/>
          <w:szCs w:val="24"/>
        </w:rPr>
      </w:pPr>
    </w:p>
    <w:p w14:paraId="0B41E25C" w14:textId="77777777" w:rsidR="00592762" w:rsidRDefault="0042086F">
      <w:pPr>
        <w:ind w:left="720" w:hanging="720"/>
        <w:rPr>
          <w:rFonts w:ascii="Arial" w:eastAsia="Arial" w:hAnsi="Arial" w:cs="Arial"/>
          <w:b/>
          <w:sz w:val="24"/>
          <w:szCs w:val="24"/>
        </w:rPr>
      </w:pPr>
      <w:r>
        <w:t xml:space="preserve">     </w:t>
      </w:r>
    </w:p>
    <w:sectPr w:rsidR="0059276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AFCAE" w14:textId="77777777" w:rsidR="0042086F" w:rsidRDefault="0042086F">
      <w:pPr>
        <w:spacing w:after="0" w:line="240" w:lineRule="auto"/>
      </w:pPr>
      <w:r>
        <w:separator/>
      </w:r>
    </w:p>
  </w:endnote>
  <w:endnote w:type="continuationSeparator" w:id="0">
    <w:p w14:paraId="2AA6D00B" w14:textId="77777777" w:rsidR="0042086F" w:rsidRDefault="00420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EABD" w14:textId="77777777" w:rsidR="00592762" w:rsidRDefault="0059276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1470" w14:textId="77777777" w:rsidR="00592762" w:rsidRDefault="005927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C4BC4F6"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 xml:space="preserve">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71CFD4A6"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5CF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D1DE8DA"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4683" w14:textId="77777777" w:rsidR="00592762" w:rsidRDefault="005927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7602D92B"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6522EB2"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79D6480A"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7F8B5" w14:textId="77777777" w:rsidR="0042086F" w:rsidRDefault="0042086F">
      <w:pPr>
        <w:spacing w:after="0" w:line="240" w:lineRule="auto"/>
      </w:pPr>
      <w:r>
        <w:separator/>
      </w:r>
    </w:p>
  </w:footnote>
  <w:footnote w:type="continuationSeparator" w:id="0">
    <w:p w14:paraId="5F932B82" w14:textId="77777777" w:rsidR="0042086F" w:rsidRDefault="00420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829F" w14:textId="77777777" w:rsidR="00592762" w:rsidRDefault="0059276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3218"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12BAB4FD" w14:textId="77777777" w:rsidR="00592762" w:rsidRDefault="004208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1FBE0177" w14:textId="77777777" w:rsidR="00592762" w:rsidRDefault="0042086F">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574AE482" w14:textId="77777777" w:rsidR="00592762" w:rsidRDefault="00592762">
    <w:pPr>
      <w:pBdr>
        <w:top w:val="nil"/>
        <w:left w:val="nil"/>
        <w:bottom w:val="nil"/>
        <w:right w:val="nil"/>
        <w:between w:val="nil"/>
      </w:pBdr>
      <w:tabs>
        <w:tab w:val="center" w:pos="4513"/>
        <w:tab w:val="right" w:pos="9026"/>
        <w:tab w:val="left" w:pos="5244"/>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5CE78" w14:textId="77777777" w:rsidR="00592762" w:rsidRDefault="0059276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E629D"/>
    <w:multiLevelType w:val="multilevel"/>
    <w:tmpl w:val="E402E492"/>
    <w:lvl w:ilvl="0">
      <w:start w:val="1"/>
      <w:numFmt w:val="decimal"/>
      <w:pStyle w:val="GPSL1CLAUSEHEADING"/>
      <w:lvlText w:val="%1."/>
      <w:lvlJc w:val="left"/>
      <w:pPr>
        <w:ind w:left="360" w:hanging="360"/>
      </w:pPr>
    </w:lvl>
    <w:lvl w:ilvl="1">
      <w:start w:val="1"/>
      <w:numFmt w:val="decimal"/>
      <w:pStyle w:val="GPSL2NumberedBoldHeading"/>
      <w:lvlText w:val="%1.%2."/>
      <w:lvlJc w:val="left"/>
      <w:pPr>
        <w:ind w:left="792" w:hanging="432"/>
      </w:pPr>
    </w:lvl>
    <w:lvl w:ilvl="2">
      <w:start w:val="1"/>
      <w:numFmt w:val="decimal"/>
      <w:pStyle w:val="GPSL3numberedclause"/>
      <w:lvlText w:val="%1.%2.%3."/>
      <w:lvlJc w:val="left"/>
      <w:pPr>
        <w:ind w:left="1224" w:hanging="504"/>
      </w:pPr>
    </w:lvl>
    <w:lvl w:ilvl="3">
      <w:start w:val="1"/>
      <w:numFmt w:val="decimal"/>
      <w:pStyle w:val="GPSL4numberedclause"/>
      <w:lvlText w:val="%1.%2.%3.%4."/>
      <w:lvlJc w:val="left"/>
      <w:pPr>
        <w:ind w:left="1728" w:hanging="647"/>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762"/>
    <w:rsid w:val="0042086F"/>
    <w:rsid w:val="00575CF7"/>
    <w:rsid w:val="00592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529D7"/>
  <w15:docId w15:val="{E062240A-AC7B-43C9-A26B-138F1802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23A"/>
    <w:rPr>
      <w:rFonts w:cs="Times New Roman"/>
    </w:rPr>
  </w:style>
  <w:style w:type="paragraph" w:styleId="Heading1">
    <w:name w:val="heading 1"/>
    <w:basedOn w:val="Normal"/>
    <w:next w:val="Normal"/>
    <w:uiPriority w:val="9"/>
    <w:qFormat/>
    <w:rsid w:val="001C723A"/>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1C723A"/>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1C723A"/>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1C723A"/>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1C723A"/>
    <w:pPr>
      <w:keepNext/>
      <w:keepLines/>
      <w:spacing w:before="220" w:after="40"/>
      <w:outlineLvl w:val="4"/>
    </w:pPr>
    <w:rPr>
      <w:b/>
    </w:rPr>
  </w:style>
  <w:style w:type="paragraph" w:styleId="Heading6">
    <w:name w:val="heading 6"/>
    <w:basedOn w:val="Normal"/>
    <w:next w:val="Normal"/>
    <w:uiPriority w:val="9"/>
    <w:semiHidden/>
    <w:unhideWhenUsed/>
    <w:qFormat/>
    <w:rsid w:val="001C723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C723A"/>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1C723A"/>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1C723A"/>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rsid w:val="001C723A"/>
    <w:pPr>
      <w:numPr>
        <w:ilvl w:val="4"/>
      </w:numPr>
      <w:tabs>
        <w:tab w:val="num" w:pos="360"/>
        <w:tab w:val="left" w:pos="3119"/>
      </w:tabs>
    </w:pPr>
  </w:style>
  <w:style w:type="paragraph" w:customStyle="1" w:styleId="GPSL2NumberedBoldHeading">
    <w:name w:val="GPS L2 Numbered Bold Heading"/>
    <w:basedOn w:val="Normal"/>
    <w:qFormat/>
    <w:rsid w:val="001C723A"/>
    <w:pPr>
      <w:numPr>
        <w:ilvl w:val="1"/>
        <w:numId w:val="1"/>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rsid w:val="001C723A"/>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C723A"/>
    <w:pPr>
      <w:spacing w:after="0" w:line="240" w:lineRule="auto"/>
    </w:pPr>
    <w:rPr>
      <w:rFonts w:cs="Times New Roman"/>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D23637"/>
    <w:pPr>
      <w:ind w:left="720"/>
      <w:contextualSpacing/>
    </w:p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9QEYkQdnSAdkjaoYlvNot5Ncig==">CgMxLjAyCGguZ2pkZ3hzOAByITFNZU1lX19GbXBWWU1zeURKeWtydk1PTDFsM296bXIwMw==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2617</Characters>
  <Application>Microsoft Office Word</Application>
  <DocSecurity>0</DocSecurity>
  <Lines>21</Lines>
  <Paragraphs>6</Paragraphs>
  <ScaleCrop>false</ScaleCrop>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2025-02-05T14:22:00Z</dcterms:created>
  <dcterms:modified xsi:type="dcterms:W3CDTF">2025-02-05T14:22:00Z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